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29.png" ContentType="image/png"/>
  <Override PartName="/word/media/rId33.png" ContentType="image/png"/>
  <Override PartName="/word/media/rId21.png" ContentType="image/png"/>
  <Override PartName="/word/media/rId25.png" ContentType="image/png"/>
  <Override PartName="/word/media/rId37.png" ContentType="image/png"/>
  <Override PartName="/word/media/rId41.png" ContentType="image/png"/>
  <Override PartName="/word/media/rId49.png" ContentType="image/png"/>
  <Override PartName="/word/media/rId57.png" ContentType="image/png"/>
  <Override PartName="/word/media/rId61.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84"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chlorophyll proxy OD680-OD720; Δ OD)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ir maximum absolute hourly growth (tMaxAG), taken as an index of transition from exponential to pre-stationary growth phases. The orange area represents the photoperiods, with peak PAR x 1/2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chlorophyll proxy OD</w:t>
      </w:r>
      <w:r>
        <w:rPr>
          <w:vertAlign w:val="subscript"/>
          <w:bCs/>
          <w:b/>
        </w:rPr>
        <w:t xml:space="preserve">680</w:t>
      </w:r>
      <w:r>
        <w:rPr>
          <w:bCs/>
          <w:b/>
        </w:rPr>
        <w:t xml:space="preserve">-OD</w:t>
      </w:r>
      <w:r>
        <w:rPr>
          <w:vertAlign w:val="subscript"/>
          <w:bCs/>
          <w:b/>
        </w:rPr>
        <w:t xml:space="preserve">720</w:t>
      </w:r>
      <w:r>
        <w:rPr>
          <w:bCs/>
          <w:b/>
        </w:rPr>
        <w:t xml:space="preserve">; Δ 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their maximum absolute hourly growth (tMaxAG), taken as an index of transition from exponential to pre-stationary growth phases. The orange area represents the photoperiods, with peak PAR x 1/2000 to scale to the Y axis.</w:t>
      </w:r>
    </w:p>
    <w:p>
      <w:pPr>
        <w:pStyle w:val="CaptionedFigure"/>
      </w:pPr>
      <w:r>
        <w:drawing>
          <wp:inline>
            <wp:extent cx="5943600" cy="7641771"/>
            <wp:effectExtent b="0" l="0" r="0" t="0"/>
            <wp:docPr descr="Figure 4: Logistic fits of chlorophyll proxy OD680-OD720 (Δ OD) vs. elapsed time (h). Logistic fits were estimated for two PhycoCyanin(PC)-rich cultures (056, 077) and two PhycoErythrin(PE)-rich cultures (048, 127) of Synechococcus sp. originating from the Baltic Sea. Cultures were grown at 30, 90, 180, 300, 600, or 900 peak PAR µmol photons m−2s−1; and photoperiods of 8, 12, 16, or 24 h. Growth curves (thin line) estimated over 5-min intervals for each strain were also presented (PC-rich_056; dark green, PC-rich_077; light green, PE-rich_048; light red, PE-rich_127; dark red)." title="" id="34" name="Picture"/>
            <a:graphic>
              <a:graphicData uri="http://schemas.openxmlformats.org/drawingml/2006/picture">
                <pic:pic>
                  <pic:nvPicPr>
                    <pic:cNvPr descr="../Output/Figures/SFig_GrowthCurve_FitAll.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CurveFitAll"/>
      <w:bookmarkEnd w:id="36"/>
      <w:r>
        <w:t xml:space="preserve">Figure 4:</w:t>
      </w:r>
      <w:r>
        <w:t xml:space="preserve"> </w:t>
      </w:r>
      <w:r>
        <w:rPr>
          <w:bCs/>
          <w:b/>
        </w:rPr>
        <w:t xml:space="preserve">Logistic fits of chlorophyll proxy OD</w:t>
      </w:r>
      <w:r>
        <w:rPr>
          <w:vertAlign w:val="subscript"/>
          <w:bCs/>
          <w:b/>
        </w:rPr>
        <w:t xml:space="preserve">680</w:t>
      </w:r>
      <w:r>
        <w:rPr>
          <w:bCs/>
          <w:b/>
        </w:rPr>
        <w:t xml:space="preserve">-OD</w:t>
      </w:r>
      <w:r>
        <w:rPr>
          <w:vertAlign w:val="subscript"/>
          <w:bCs/>
          <w:b/>
        </w:rPr>
        <w:t xml:space="preserve">720</w:t>
      </w:r>
      <w:r>
        <w:rPr>
          <w:bCs/>
          <w:b/>
        </w:rPr>
        <w:t xml:space="preserve"> </w:t>
      </w:r>
      <w:r>
        <w:rPr>
          <w:bCs/>
          <w:b/>
        </w:rPr>
        <w:t xml:space="preserve">(Δ OD) vs. elapsed time (h).</w:t>
      </w:r>
      <w:r>
        <w:t xml:space="preserve"> </w:t>
      </w:r>
      <w:r>
        <w:t xml:space="preserve">Logistic fits were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curves (thin line) estimated over 5-min intervals for each strain were also presented (PC-rich_056; dark green, PC-rich_077; light green, PE-rich_048; light red, PE-rich_127; dark red).</w:t>
      </w:r>
    </w:p>
    <w:p>
      <w:pPr>
        <w:pStyle w:val="CaptionedFigure"/>
      </w:pPr>
      <w:r>
        <w:drawing>
          <wp:inline>
            <wp:extent cx="5943600" cy="7641771"/>
            <wp:effectExtent b="0" l="0" r="0" t="0"/>
            <wp:docPr descr="Figure 5: Chlorophyll specific exponential growth rates (d−1) vs. cumulative diel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38" name="Picture"/>
            <a:graphic>
              <a:graphicData uri="http://schemas.openxmlformats.org/drawingml/2006/picture">
                <pic:pic>
                  <pic:nvPicPr>
                    <pic:cNvPr descr="../Output/Figures/SFig_GrowthRate_Light.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GrowthRateLight"/>
      <w:bookmarkEnd w:id="40"/>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6: Chlorophyll specific exponential growth rates (d−1) vs. cumulative diel PUR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title="" id="42" name="Picture"/>
            <a:graphic>
              <a:graphicData uri="http://schemas.openxmlformats.org/drawingml/2006/picture">
                <pic:pic>
                  <pic:nvPicPr>
                    <pic:cNvPr descr="../Output/Figures/SFig_GrowthRate_PUR.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GrowthRatePUR"/>
      <w:bookmarkEnd w:id="44"/>
      <w:r>
        <w:t xml:space="preserve">Figure 6:</w:t>
      </w:r>
      <w:r>
        <w:t xml:space="preserve"> </w:t>
      </w:r>
      <w:r>
        <w:rPr>
          <w:bCs/>
          <w:b/>
        </w:rPr>
        <w:t xml:space="preserve">Chlorophyll specific exponential growth rates (d</w:t>
      </w:r>
      <w:r>
        <w:rPr>
          <w:vertAlign w:val="superscript"/>
          <w:bCs/>
          <w:b/>
        </w:rPr>
        <w:t xml:space="preserve">−1</w:t>
      </w:r>
      <w:r>
        <w:rPr>
          <w:bCs/>
          <w:b/>
        </w:rPr>
        <w:t xml:space="preserve">) vs. cumulative diel PUR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w:t>
      </w:r>
    </w:p>
    <w:p>
      <w:pPr>
        <w:pStyle w:val="CaptionedFigure"/>
      </w:pPr>
      <w:r>
        <w:drawing>
          <wp:inline>
            <wp:extent cx="5943600" cy="7641771"/>
            <wp:effectExtent b="0" l="0" r="0" t="0"/>
            <wp:docPr descr="Figure 7: Hours of photoperiod to reach maximum daily growth (h) vs. photoperiod (h).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diagonal dashed lines indicate the time (h) to reach the maximum light during the day. Figure presents data (small symbols) and means (big symbols) from exponential phase of growth, or from pre-stationary phase of growth, n = 1-5." title="" id="46" name="Picture"/>
            <a:graphic>
              <a:graphicData uri="http://schemas.openxmlformats.org/drawingml/2006/picture">
                <pic:pic>
                  <pic:nvPicPr>
                    <pic:cNvPr descr="../Output/Figures/SFig_AccLen.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AccLen"/>
      <w:bookmarkEnd w:id="48"/>
      <w:r>
        <w:t xml:space="preserve">Figure 7:</w:t>
      </w:r>
      <w:r>
        <w:t xml:space="preserve"> </w:t>
      </w:r>
      <w:r>
        <w:rPr>
          <w:bCs/>
          <w:b/>
        </w:rPr>
        <w:t xml:space="preserve">Hours of photoperiod to reach maximum daily growth (h) vs. photoperiod (h).</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diagonal dashed lines indicate the time (h) to reach the maximum light during the day. Figure presents data (small symbols) and means (big symbols) from exponential phase of growth, or from pre-stationary phase of growth,</w:t>
      </w:r>
      <w:r>
        <w:t xml:space="preserve"> </w:t>
      </w:r>
      <w:r>
        <w:rPr>
          <w:iCs/>
          <w:i/>
        </w:rPr>
        <w:t xml:space="preserve">n</w:t>
      </w:r>
      <w:r>
        <w:t xml:space="preserve"> </w:t>
      </w:r>
      <w:r>
        <w:t xml:space="preserve">= 1-5.</w:t>
      </w:r>
    </w:p>
    <w:p>
      <w:pPr>
        <w:pStyle w:val="CaptionedFigure"/>
      </w:pPr>
      <w:r>
        <w:drawing>
          <wp:inline>
            <wp:extent cx="5943600" cy="7641771"/>
            <wp:effectExtent b="0" l="0" r="0" t="0"/>
            <wp:docPr descr="Figure 8: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0" name="Picture"/>
            <a:graphic>
              <a:graphicData uri="http://schemas.openxmlformats.org/drawingml/2006/picture">
                <pic:pic>
                  <pic:nvPicPr>
                    <pic:cNvPr descr="../Output/Figures/SFig_PhycoChlaRatio.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PhycoChlaRatio"/>
      <w:bookmarkEnd w:id="52"/>
      <w:r>
        <w:t xml:space="preserve">Figure 8:</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9: Changes of effective absorption cross section of PSII (σPSII; nm2 quanta-1) measured at the dark period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4" name="Picture"/>
            <a:graphic>
              <a:graphicData uri="http://schemas.openxmlformats.org/drawingml/2006/picture">
                <pic:pic>
                  <pic:nvPicPr>
                    <pic:cNvPr descr="../Output/Figures/SFig_SigmaPig590dark.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SigmaPig590dark"/>
      <w:bookmarkEnd w:id="56"/>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at the dark period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0: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8" name="Picture"/>
            <a:graphic>
              <a:graphicData uri="http://schemas.openxmlformats.org/drawingml/2006/picture">
                <pic:pic>
                  <pic:nvPicPr>
                    <pic:cNvPr descr="../Output/Figures/SFig_Sigma445.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Sigma445"/>
      <w:bookmarkEnd w:id="60"/>
      <w:r>
        <w:t xml:space="preserve">Figure 10:</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1: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62" name="Picture"/>
            <a:graphic>
              <a:graphicData uri="http://schemas.openxmlformats.org/drawingml/2006/picture">
                <pic:pic>
                  <pic:nvPicPr>
                    <pic:cNvPr descr="../Output/Figures/SFig_SigmaPig445.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SigmaPig445"/>
      <w:bookmarkEnd w:id="64"/>
      <w:r>
        <w:t xml:space="preserve">Figure 11:</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TableCaption"/>
      </w:pPr>
      <w:bookmarkStart w:id="65" w:name="tab:unnamed-chunk-1"/>
      <w:bookmarkEnd w:id="65"/>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6" w:name="tab:unnamed-chunk-2"/>
      <w:bookmarkEnd w:id="66"/>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7" w:name="tab:unnamed-chunk-3"/>
      <w:bookmarkEnd w:id="67"/>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8" w:name="tab:unnamed-chunk-4"/>
      <w:bookmarkEnd w:id="68"/>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9" w:name="tab:unnamed-chunk-5"/>
      <w:bookmarkEnd w:id="69"/>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0" w:name="tab:unnamed-chunk-6"/>
      <w:bookmarkEnd w:id="70"/>
      <w:r>
        <w:t xml:space="preserve">Table 6:</w:t>
      </w:r>
      <w:r>
        <w:t xml:space="preserve"> </w:t>
      </w:r>
      <w:r>
        <w:t xml:space="preserve">Three-way factorial ANOVA of index of diel growth symmetry; AccLen/DecLen ratio (Source_of_variation), for two PhycoCyanin(PC)-rich cultures (056, 077) and two PhycoErythrin(PE)-rich cultures (048, 127) (Culture Collection of Baltic Algae) of Synechococcus sp., grown at 30, 90, 180, 300, or 900 peak PAR µmol photons m−2s−1; and photoperiods of 8, 12, or 16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1" w:name="tab:unnamed-chunk-7"/>
      <w:bookmarkEnd w:id="71"/>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index of diel growth symmetry; AccLen/DecLen ratio,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2" w:name="tab:unnamed-chunk-8"/>
      <w:bookmarkEnd w:id="72"/>
      <w:r>
        <w:t xml:space="preserve">Table 8:</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3" w:name="tab:unnamed-chunk-9"/>
      <w:bookmarkEnd w:id="73"/>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74" w:name="tab:unnamed-chunk-10"/>
      <w:bookmarkEnd w:id="74"/>
      <w:r>
        <w:t xml:space="preserve">Table 10:</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5" w:name="tab:unnamed-chunk-11"/>
      <w:bookmarkEnd w:id="75"/>
      <w:r>
        <w:t xml:space="preserve">Table 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6" w:name="tab:unnamed-chunk-12"/>
      <w:bookmarkEnd w:id="76"/>
      <w:r>
        <w:t xml:space="preserve">Table 12:</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7" w:name="tab:unnamed-chunk-13"/>
      <w:bookmarkEnd w:id="77"/>
      <w:r>
        <w:t xml:space="preserve">Table 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8" w:name="tab:unnamed-chunk-14"/>
      <w:bookmarkEnd w:id="78"/>
      <w:r>
        <w:t xml:space="preserve">Table 14:</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9" w:name="tab:unnamed-chunk-15"/>
      <w:bookmarkEnd w:id="79"/>
      <w:r>
        <w:t xml:space="preserve">Table 15: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80" w:name="tab:unnamed-chunk-16"/>
      <w:bookmarkEnd w:id="80"/>
      <w:r>
        <w:t xml:space="preserve">Table 16:</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3.585e+03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4.080e+03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1" w:name="tab:unnamed-chunk-17"/>
      <w:bookmarkEnd w:id="81"/>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TableCaption"/>
      </w:pPr>
      <w:bookmarkStart w:id="82" w:name="tab:unnamed-chunk-18"/>
      <w:bookmarkEnd w:id="82"/>
      <w:r>
        <w:t xml:space="preserve">Table 18:</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3.448e+03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685.232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3.610e+02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8,074.929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3" w:name="tab:unnamed-chunk-19"/>
      <w:bookmarkEnd w:id="83"/>
      <w:r>
        <w:t xml:space="preserve">Table 19: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bookmarkEnd w:id="8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2024-02-18T15:34:25Z</dcterms:created>
  <dcterms:modified xsi:type="dcterms:W3CDTF">2024-02-18T15:34:25Z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